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1" w:rightFromText="181" w:vertAnchor="page" w:horzAnchor="margin" w:tblpXSpec="center" w:tblpY="2176"/>
        <w:tblOverlap w:val="never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7"/>
        <w:gridCol w:w="8417"/>
      </w:tblGrid>
      <w:tr w:rsidR="00613DF8" w:rsidRPr="00613DF8" w14:paraId="5A69290A" w14:textId="77777777" w:rsidTr="00613DF8">
        <w:trPr>
          <w:trHeight w:val="274"/>
        </w:trPr>
        <w:tc>
          <w:tcPr>
            <w:tcW w:w="1701" w:type="dxa"/>
            <w:shd w:val="clear" w:color="auto" w:fill="FBE4D5"/>
          </w:tcPr>
          <w:p w14:paraId="5D259243" w14:textId="77777777" w:rsidR="00613DF8" w:rsidRPr="00613DF8" w:rsidRDefault="00613DF8" w:rsidP="00613DF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3DF8">
              <w:rPr>
                <w:rFonts w:ascii="Arial" w:eastAsia="Calibri" w:hAnsi="Arial" w:cs="Arial"/>
                <w:b/>
                <w:sz w:val="18"/>
                <w:szCs w:val="18"/>
              </w:rPr>
              <w:t>PRIMARY DRIVERS</w:t>
            </w:r>
          </w:p>
        </w:tc>
        <w:tc>
          <w:tcPr>
            <w:tcW w:w="527" w:type="dxa"/>
          </w:tcPr>
          <w:p w14:paraId="0568F500" w14:textId="77777777" w:rsidR="00613DF8" w:rsidRPr="00613DF8" w:rsidRDefault="00613DF8" w:rsidP="00613DF8">
            <w:pPr>
              <w:spacing w:before="120"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8417" w:type="dxa"/>
            <w:shd w:val="clear" w:color="auto" w:fill="FFF2CC"/>
          </w:tcPr>
          <w:p w14:paraId="268BC09E" w14:textId="77777777" w:rsidR="00613DF8" w:rsidRPr="00613DF8" w:rsidRDefault="00613DF8" w:rsidP="00613DF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13DF8">
              <w:rPr>
                <w:rFonts w:ascii="Calibri" w:eastAsia="Calibri" w:hAnsi="Calibri" w:cs="Calibri"/>
                <w:b/>
                <w:sz w:val="28"/>
                <w:szCs w:val="28"/>
              </w:rPr>
              <w:t>DESIGN DETAILS</w:t>
            </w:r>
          </w:p>
        </w:tc>
      </w:tr>
      <w:tr w:rsidR="00613DF8" w:rsidRPr="00613DF8" w14:paraId="4ABFD2D5" w14:textId="77777777" w:rsidTr="00613DF8">
        <w:trPr>
          <w:trHeight w:val="110"/>
        </w:trPr>
        <w:tc>
          <w:tcPr>
            <w:tcW w:w="10645" w:type="dxa"/>
            <w:gridSpan w:val="3"/>
          </w:tcPr>
          <w:p w14:paraId="0F5854F4" w14:textId="77777777" w:rsidR="00613DF8" w:rsidRPr="00613DF8" w:rsidRDefault="00613DF8" w:rsidP="00613DF8">
            <w:pPr>
              <w:spacing w:before="120" w:after="120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613DF8" w:rsidRPr="00613DF8" w14:paraId="752E71DE" w14:textId="77777777" w:rsidTr="00613DF8">
        <w:trPr>
          <w:trHeight w:val="1141"/>
        </w:trPr>
        <w:tc>
          <w:tcPr>
            <w:tcW w:w="1701" w:type="dxa"/>
            <w:shd w:val="clear" w:color="auto" w:fill="FBE4D5"/>
          </w:tcPr>
          <w:p w14:paraId="3C080614" w14:textId="77777777" w:rsidR="00613DF8" w:rsidRPr="00613DF8" w:rsidRDefault="00613DF8" w:rsidP="00613DF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3DF8">
              <w:rPr>
                <w:rFonts w:ascii="Arial" w:eastAsia="Calibri" w:hAnsi="Arial" w:cs="Arial"/>
                <w:b/>
                <w:sz w:val="18"/>
                <w:szCs w:val="18"/>
              </w:rPr>
              <w:t xml:space="preserve">We are HSS – </w:t>
            </w:r>
            <w:r w:rsidRPr="00613D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 fierce focus on teaching &amp; learning for all </w:t>
            </w:r>
            <w:r w:rsidRPr="00613DF8">
              <w:rPr>
                <w:rFonts w:ascii="Arial" w:eastAsia="Calibri" w:hAnsi="Arial" w:cs="Arial"/>
                <w:bCs/>
                <w:sz w:val="14"/>
                <w:szCs w:val="14"/>
              </w:rPr>
              <w:t>(CT, OR &amp; VN)</w:t>
            </w:r>
            <w:r w:rsidRPr="00613DF8">
              <w:rPr>
                <w:rFonts w:ascii="Arial" w:eastAsia="Calibri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27" w:type="dxa"/>
          </w:tcPr>
          <w:p w14:paraId="1ADDF8CC" w14:textId="77777777" w:rsidR="00613DF8" w:rsidRPr="00613DF8" w:rsidRDefault="00613DF8" w:rsidP="00613DF8">
            <w:pPr>
              <w:spacing w:before="80" w:afterLines="80" w:after="192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7" w:type="dxa"/>
            <w:shd w:val="clear" w:color="auto" w:fill="FFF2CC"/>
          </w:tcPr>
          <w:p w14:paraId="509E612E" w14:textId="77777777" w:rsidR="00613DF8" w:rsidRPr="00613DF8" w:rsidRDefault="00613DF8" w:rsidP="00613DF8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Maximising teaching time and minimising distractions enables more focused learning in all classrooms – CT &amp; OR</w:t>
            </w:r>
          </w:p>
          <w:p w14:paraId="67030EF4" w14:textId="77777777" w:rsidR="00613DF8" w:rsidRPr="00613DF8" w:rsidRDefault="00613DF8" w:rsidP="00613DF8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Further developing adaptive teaching strategies and skills improves T&amp;L for all – CT &amp; OR</w:t>
            </w:r>
          </w:p>
          <w:p w14:paraId="7B61A065" w14:textId="77777777" w:rsidR="00613DF8" w:rsidRPr="00613DF8" w:rsidRDefault="00613DF8" w:rsidP="00613DF8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Targeted curriculum development enables teachers in all subjects to secure excellent progression in learning – VN</w:t>
            </w:r>
          </w:p>
          <w:p w14:paraId="6B534943" w14:textId="77777777" w:rsidR="00613DF8" w:rsidRPr="00613DF8" w:rsidRDefault="00613DF8" w:rsidP="00613D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DF8" w:rsidRPr="00613DF8" w14:paraId="7228F340" w14:textId="77777777" w:rsidTr="00613DF8">
        <w:trPr>
          <w:trHeight w:val="142"/>
        </w:trPr>
        <w:tc>
          <w:tcPr>
            <w:tcW w:w="10645" w:type="dxa"/>
            <w:gridSpan w:val="3"/>
          </w:tcPr>
          <w:p w14:paraId="11D34C76" w14:textId="77777777" w:rsidR="00613DF8" w:rsidRPr="00613DF8" w:rsidRDefault="00613DF8" w:rsidP="00613DF8">
            <w:pPr>
              <w:spacing w:before="120" w:after="120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613DF8" w:rsidRPr="00613DF8" w14:paraId="2605AA5F" w14:textId="77777777" w:rsidTr="00613DF8">
        <w:trPr>
          <w:trHeight w:val="881"/>
        </w:trPr>
        <w:tc>
          <w:tcPr>
            <w:tcW w:w="1701" w:type="dxa"/>
            <w:shd w:val="clear" w:color="auto" w:fill="FBE4D5"/>
          </w:tcPr>
          <w:p w14:paraId="2808DAC8" w14:textId="77777777" w:rsidR="00613DF8" w:rsidRPr="00613DF8" w:rsidRDefault="00613DF8" w:rsidP="00613DF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3DF8">
              <w:rPr>
                <w:rFonts w:ascii="Arial" w:eastAsia="Calibri" w:hAnsi="Arial" w:cs="Arial"/>
                <w:b/>
                <w:sz w:val="18"/>
                <w:szCs w:val="18"/>
              </w:rPr>
              <w:t xml:space="preserve">We are here to learn – </w:t>
            </w:r>
            <w:r w:rsidRPr="00613DF8">
              <w:rPr>
                <w:rFonts w:ascii="Arial" w:eastAsia="Calibri" w:hAnsi="Arial" w:cs="Arial"/>
                <w:bCs/>
                <w:sz w:val="18"/>
                <w:szCs w:val="18"/>
              </w:rPr>
              <w:t>Supporting better engagement, attendance &amp; intervention at KS4</w:t>
            </w:r>
            <w:r w:rsidRPr="00613DF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13DF8">
              <w:rPr>
                <w:rFonts w:ascii="Arial" w:eastAsia="Calibri" w:hAnsi="Arial" w:cs="Arial"/>
                <w:bCs/>
                <w:sz w:val="14"/>
                <w:szCs w:val="14"/>
              </w:rPr>
              <w:t>(HIG)</w:t>
            </w:r>
          </w:p>
        </w:tc>
        <w:tc>
          <w:tcPr>
            <w:tcW w:w="527" w:type="dxa"/>
          </w:tcPr>
          <w:p w14:paraId="76BE004C" w14:textId="77777777" w:rsidR="00613DF8" w:rsidRPr="00613DF8" w:rsidRDefault="00613DF8" w:rsidP="00613DF8">
            <w:pPr>
              <w:spacing w:before="120" w:afterLines="80" w:after="192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7" w:type="dxa"/>
            <w:shd w:val="clear" w:color="auto" w:fill="FFF2CC"/>
          </w:tcPr>
          <w:p w14:paraId="721E550C" w14:textId="77777777" w:rsidR="00613DF8" w:rsidRPr="00613DF8" w:rsidRDefault="00613DF8" w:rsidP="00613DF8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Focused interventions (both focused on core subjects and skills development) enable targeted students to make progress – HIG</w:t>
            </w:r>
          </w:p>
          <w:p w14:paraId="10B1ADDD" w14:textId="77777777" w:rsidR="00613DF8" w:rsidRPr="00613DF8" w:rsidRDefault="00613DF8" w:rsidP="00613DF8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Carefully planned Y9 &amp; Y10 events and guidance support both students and families to maximise success -HIG</w:t>
            </w:r>
          </w:p>
          <w:p w14:paraId="0B67BE8C" w14:textId="77777777" w:rsidR="00613DF8" w:rsidRPr="00613DF8" w:rsidRDefault="00613DF8" w:rsidP="00613DF8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DF8" w:rsidRPr="00613DF8" w14:paraId="4ABB3ED5" w14:textId="77777777" w:rsidTr="00613DF8">
        <w:trPr>
          <w:trHeight w:val="99"/>
        </w:trPr>
        <w:tc>
          <w:tcPr>
            <w:tcW w:w="1701" w:type="dxa"/>
          </w:tcPr>
          <w:p w14:paraId="4265CA1D" w14:textId="77777777" w:rsidR="00613DF8" w:rsidRPr="00613DF8" w:rsidRDefault="00613DF8" w:rsidP="00613DF8">
            <w:pPr>
              <w:spacing w:before="120" w:after="120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  <w:tc>
          <w:tcPr>
            <w:tcW w:w="527" w:type="dxa"/>
          </w:tcPr>
          <w:p w14:paraId="56079EF0" w14:textId="77777777" w:rsidR="00613DF8" w:rsidRPr="00613DF8" w:rsidRDefault="00613DF8" w:rsidP="00613DF8">
            <w:pPr>
              <w:rPr>
                <w:rFonts w:ascii="Arial" w:eastAsia="Calibri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8417" w:type="dxa"/>
          </w:tcPr>
          <w:p w14:paraId="7D69464F" w14:textId="77777777" w:rsidR="00613DF8" w:rsidRPr="00613DF8" w:rsidRDefault="00613DF8" w:rsidP="00613DF8">
            <w:pPr>
              <w:spacing w:before="120" w:after="120"/>
              <w:rPr>
                <w:rFonts w:ascii="Calibri" w:eastAsia="Calibri" w:hAnsi="Calibri" w:cs="Calibri"/>
                <w:sz w:val="2"/>
                <w:szCs w:val="2"/>
                <w:highlight w:val="yellow"/>
              </w:rPr>
            </w:pPr>
          </w:p>
        </w:tc>
      </w:tr>
      <w:tr w:rsidR="00613DF8" w:rsidRPr="00613DF8" w14:paraId="6E43E6E4" w14:textId="77777777" w:rsidTr="00613DF8">
        <w:trPr>
          <w:trHeight w:val="824"/>
        </w:trPr>
        <w:tc>
          <w:tcPr>
            <w:tcW w:w="1701" w:type="dxa"/>
            <w:shd w:val="clear" w:color="auto" w:fill="FBE4D5"/>
          </w:tcPr>
          <w:p w14:paraId="0C664E38" w14:textId="77777777" w:rsidR="00613DF8" w:rsidRPr="00613DF8" w:rsidRDefault="00613DF8" w:rsidP="00613DF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3DF8">
              <w:rPr>
                <w:rFonts w:ascii="Arial" w:eastAsia="Calibri" w:hAnsi="Arial" w:cs="Arial"/>
                <w:b/>
                <w:sz w:val="18"/>
                <w:szCs w:val="18"/>
              </w:rPr>
              <w:t xml:space="preserve">We are here to succeed – </w:t>
            </w:r>
            <w:r w:rsidRPr="00613DF8">
              <w:rPr>
                <w:rFonts w:ascii="Arial" w:eastAsia="Calibri" w:hAnsi="Arial" w:cs="Arial"/>
                <w:bCs/>
                <w:sz w:val="18"/>
                <w:szCs w:val="18"/>
              </w:rPr>
              <w:t>Engaging key stakeholders with progress data</w:t>
            </w:r>
            <w:r w:rsidRPr="00613DF8">
              <w:rPr>
                <w:rFonts w:ascii="Arial" w:eastAsia="Calibri" w:hAnsi="Arial" w:cs="Arial"/>
                <w:bCs/>
                <w:sz w:val="14"/>
                <w:szCs w:val="14"/>
              </w:rPr>
              <w:t xml:space="preserve"> (NEW, LLB, HIG &amp; WMC)</w:t>
            </w:r>
          </w:p>
        </w:tc>
        <w:tc>
          <w:tcPr>
            <w:tcW w:w="527" w:type="dxa"/>
          </w:tcPr>
          <w:p w14:paraId="4BD36FD8" w14:textId="77777777" w:rsidR="00613DF8" w:rsidRPr="00613DF8" w:rsidRDefault="00613DF8" w:rsidP="00613DF8">
            <w:pPr>
              <w:spacing w:before="120" w:afterLines="80" w:after="192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7" w:type="dxa"/>
            <w:shd w:val="clear" w:color="auto" w:fill="FFF2CC"/>
          </w:tcPr>
          <w:p w14:paraId="09767F79" w14:textId="77777777" w:rsidR="00613DF8" w:rsidRPr="00613DF8" w:rsidRDefault="00613DF8" w:rsidP="00613DF8">
            <w:pPr>
              <w:numPr>
                <w:ilvl w:val="0"/>
                <w:numId w:val="3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Improved use of SISRA by middle leaders leads to focused interventions that best support student progress – WMC</w:t>
            </w:r>
          </w:p>
          <w:p w14:paraId="2204FBCF" w14:textId="77777777" w:rsidR="00613DF8" w:rsidRPr="00613DF8" w:rsidRDefault="00613DF8" w:rsidP="00613DF8">
            <w:pPr>
              <w:numPr>
                <w:ilvl w:val="0"/>
                <w:numId w:val="3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Engaging more parents with tracking and progress (with a focus on Y7-Y9 leads to increased positivity about HSS reporting and more opportunities for parents to support student success – WMC, LLB &amp; HIG</w:t>
            </w:r>
          </w:p>
          <w:p w14:paraId="343CE62D" w14:textId="77777777" w:rsidR="00613DF8" w:rsidRPr="00613DF8" w:rsidRDefault="00613DF8" w:rsidP="00613DF8">
            <w:pPr>
              <w:numPr>
                <w:ilvl w:val="0"/>
                <w:numId w:val="3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Working with Houses and middle leaders improves interventions at all levels – NEW, HIG &amp; LLB</w:t>
            </w:r>
          </w:p>
          <w:p w14:paraId="1F572C1C" w14:textId="77777777" w:rsidR="00613DF8" w:rsidRPr="00613DF8" w:rsidRDefault="00613DF8" w:rsidP="00613DF8">
            <w:pPr>
              <w:numPr>
                <w:ilvl w:val="0"/>
                <w:numId w:val="3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Focusing on A2L in lessons improves staff and student engagement with A2L – LLB, NEW, HIG &amp; WMC</w:t>
            </w:r>
          </w:p>
        </w:tc>
      </w:tr>
      <w:tr w:rsidR="00613DF8" w:rsidRPr="00613DF8" w14:paraId="46D33A8E" w14:textId="77777777" w:rsidTr="00613DF8">
        <w:trPr>
          <w:trHeight w:val="115"/>
        </w:trPr>
        <w:tc>
          <w:tcPr>
            <w:tcW w:w="10645" w:type="dxa"/>
            <w:gridSpan w:val="3"/>
            <w:shd w:val="clear" w:color="auto" w:fill="auto"/>
          </w:tcPr>
          <w:p w14:paraId="3DFDA5ED" w14:textId="77777777" w:rsidR="00613DF8" w:rsidRPr="00613DF8" w:rsidRDefault="00613DF8" w:rsidP="00613DF8">
            <w:pPr>
              <w:spacing w:before="120" w:after="120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613DF8" w:rsidRPr="00613DF8" w14:paraId="433C93AC" w14:textId="77777777" w:rsidTr="00613DF8">
        <w:trPr>
          <w:trHeight w:val="1691"/>
        </w:trPr>
        <w:tc>
          <w:tcPr>
            <w:tcW w:w="1701" w:type="dxa"/>
            <w:shd w:val="clear" w:color="auto" w:fill="FBE4D5"/>
          </w:tcPr>
          <w:p w14:paraId="307A420A" w14:textId="77777777" w:rsidR="00613DF8" w:rsidRPr="00613DF8" w:rsidRDefault="00613DF8" w:rsidP="00613DF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3DF8">
              <w:rPr>
                <w:rFonts w:ascii="Arial" w:eastAsia="Calibri" w:hAnsi="Arial" w:cs="Arial"/>
                <w:b/>
                <w:sz w:val="18"/>
                <w:szCs w:val="18"/>
              </w:rPr>
              <w:t xml:space="preserve">We are here to thrive – </w:t>
            </w:r>
            <w:r w:rsidRPr="00613DF8">
              <w:rPr>
                <w:rFonts w:ascii="Arial" w:eastAsia="Calibri" w:hAnsi="Arial" w:cs="Arial"/>
                <w:bCs/>
                <w:sz w:val="18"/>
                <w:szCs w:val="18"/>
              </w:rPr>
              <w:t>Success beyond the classroom</w:t>
            </w:r>
            <w:r w:rsidRPr="00613DF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13DF8">
              <w:rPr>
                <w:rFonts w:ascii="Arial" w:eastAsia="Calibri" w:hAnsi="Arial" w:cs="Arial"/>
                <w:bCs/>
                <w:sz w:val="14"/>
                <w:szCs w:val="14"/>
              </w:rPr>
              <w:t>(NEW &amp; VN)</w:t>
            </w:r>
          </w:p>
        </w:tc>
        <w:tc>
          <w:tcPr>
            <w:tcW w:w="527" w:type="dxa"/>
          </w:tcPr>
          <w:p w14:paraId="5D44350D" w14:textId="77777777" w:rsidR="00613DF8" w:rsidRPr="00613DF8" w:rsidRDefault="00613DF8" w:rsidP="00613DF8">
            <w:pPr>
              <w:spacing w:before="120" w:afterLines="80" w:after="192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7" w:type="dxa"/>
            <w:shd w:val="clear" w:color="auto" w:fill="FFF2CC"/>
          </w:tcPr>
          <w:p w14:paraId="1CB40F23" w14:textId="77777777" w:rsidR="00613DF8" w:rsidRPr="00613DF8" w:rsidRDefault="00613DF8" w:rsidP="00613DF8">
            <w:pPr>
              <w:numPr>
                <w:ilvl w:val="0"/>
                <w:numId w:val="4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Homework policy and systems support student independent learning AND well-being – VN</w:t>
            </w:r>
          </w:p>
          <w:p w14:paraId="42B57C45" w14:textId="77777777" w:rsidR="00613DF8" w:rsidRPr="00613DF8" w:rsidRDefault="00613DF8" w:rsidP="00613DF8">
            <w:pPr>
              <w:numPr>
                <w:ilvl w:val="0"/>
                <w:numId w:val="4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A high-quality careers programmes throughout and beyond the formal curriculum enables and motivates all students to make informed decisions about their future careers – NEW &amp; VN</w:t>
            </w:r>
          </w:p>
          <w:p w14:paraId="476D32A4" w14:textId="77777777" w:rsidR="00613DF8" w:rsidRPr="00613DF8" w:rsidRDefault="00613DF8" w:rsidP="00613DF8">
            <w:pPr>
              <w:numPr>
                <w:ilvl w:val="0"/>
                <w:numId w:val="4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High quality extra and super-curricular programmes promote belonging and high aspirations for all students – NEW &amp; LOC TLR holder</w:t>
            </w:r>
          </w:p>
        </w:tc>
      </w:tr>
      <w:tr w:rsidR="00613DF8" w:rsidRPr="00613DF8" w14:paraId="6245C05A" w14:textId="77777777" w:rsidTr="00613DF8">
        <w:trPr>
          <w:trHeight w:val="70"/>
        </w:trPr>
        <w:tc>
          <w:tcPr>
            <w:tcW w:w="10645" w:type="dxa"/>
            <w:gridSpan w:val="3"/>
            <w:shd w:val="clear" w:color="auto" w:fill="auto"/>
          </w:tcPr>
          <w:p w14:paraId="05F9FC03" w14:textId="77777777" w:rsidR="00613DF8" w:rsidRPr="00613DF8" w:rsidRDefault="00613DF8" w:rsidP="00613DF8">
            <w:pPr>
              <w:spacing w:before="120" w:after="120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613DF8" w:rsidRPr="00613DF8" w14:paraId="4012D807" w14:textId="77777777" w:rsidTr="00613DF8">
        <w:trPr>
          <w:trHeight w:val="1191"/>
        </w:trPr>
        <w:tc>
          <w:tcPr>
            <w:tcW w:w="1701" w:type="dxa"/>
            <w:shd w:val="clear" w:color="auto" w:fill="FBE4D5"/>
          </w:tcPr>
          <w:p w14:paraId="28F11E8E" w14:textId="77777777" w:rsidR="00613DF8" w:rsidRPr="00613DF8" w:rsidRDefault="00613DF8" w:rsidP="00613DF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3DF8">
              <w:rPr>
                <w:rFonts w:ascii="Arial" w:eastAsia="Calibri" w:hAnsi="Arial" w:cs="Arial"/>
                <w:b/>
                <w:sz w:val="18"/>
                <w:szCs w:val="18"/>
              </w:rPr>
              <w:t xml:space="preserve">We are respectful – </w:t>
            </w:r>
            <w:r w:rsidRPr="00613D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Diversity &amp; Inclusion </w:t>
            </w:r>
            <w:r w:rsidRPr="00613DF8">
              <w:rPr>
                <w:rFonts w:ascii="Arial" w:eastAsia="Calibri" w:hAnsi="Arial" w:cs="Arial"/>
                <w:bCs/>
                <w:sz w:val="14"/>
                <w:szCs w:val="14"/>
              </w:rPr>
              <w:t>(OR &amp; VN)</w:t>
            </w:r>
          </w:p>
        </w:tc>
        <w:tc>
          <w:tcPr>
            <w:tcW w:w="527" w:type="dxa"/>
          </w:tcPr>
          <w:p w14:paraId="452DE99A" w14:textId="77777777" w:rsidR="00613DF8" w:rsidRPr="00613DF8" w:rsidRDefault="00613DF8" w:rsidP="00613DF8">
            <w:pPr>
              <w:spacing w:before="120" w:afterLines="80" w:after="192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7" w:type="dxa"/>
            <w:shd w:val="clear" w:color="auto" w:fill="FFF2CC"/>
          </w:tcPr>
          <w:p w14:paraId="0D67A5BF" w14:textId="77777777" w:rsidR="00613DF8" w:rsidRPr="00613DF8" w:rsidRDefault="00613DF8" w:rsidP="00613DF8">
            <w:pPr>
              <w:numPr>
                <w:ilvl w:val="0"/>
                <w:numId w:val="5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Further development of the profile and expertise of the teams that support SEN learners maximises their engagement and achievement – OR</w:t>
            </w:r>
          </w:p>
          <w:p w14:paraId="5C4E39F8" w14:textId="77777777" w:rsidR="00613DF8" w:rsidRPr="00613DF8" w:rsidRDefault="00613DF8" w:rsidP="00613DF8">
            <w:pPr>
              <w:numPr>
                <w:ilvl w:val="0"/>
                <w:numId w:val="5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Education around diversity and wellbeing continues to engage the HSS community and is considered through the lens of intersectionality and respect for all – OR &amp; VN</w:t>
            </w:r>
          </w:p>
        </w:tc>
      </w:tr>
      <w:tr w:rsidR="00613DF8" w:rsidRPr="00613DF8" w14:paraId="6086DC26" w14:textId="77777777" w:rsidTr="00613DF8">
        <w:trPr>
          <w:trHeight w:val="120"/>
        </w:trPr>
        <w:tc>
          <w:tcPr>
            <w:tcW w:w="10645" w:type="dxa"/>
            <w:gridSpan w:val="3"/>
            <w:shd w:val="clear" w:color="auto" w:fill="auto"/>
          </w:tcPr>
          <w:p w14:paraId="2DF664D4" w14:textId="77777777" w:rsidR="00613DF8" w:rsidRPr="00613DF8" w:rsidRDefault="00613DF8" w:rsidP="00613DF8">
            <w:pPr>
              <w:spacing w:before="120" w:after="120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613DF8" w:rsidRPr="00613DF8" w14:paraId="12E602AC" w14:textId="77777777" w:rsidTr="00613DF8">
        <w:trPr>
          <w:trHeight w:val="884"/>
        </w:trPr>
        <w:tc>
          <w:tcPr>
            <w:tcW w:w="1701" w:type="dxa"/>
            <w:shd w:val="clear" w:color="auto" w:fill="FBE4D5"/>
          </w:tcPr>
          <w:p w14:paraId="30B8946B" w14:textId="77777777" w:rsidR="00613DF8" w:rsidRPr="00613DF8" w:rsidRDefault="00613DF8" w:rsidP="00613DF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3DF8">
              <w:rPr>
                <w:rFonts w:ascii="Arial" w:eastAsia="Calibri" w:hAnsi="Arial" w:cs="Arial"/>
                <w:b/>
                <w:sz w:val="18"/>
                <w:szCs w:val="18"/>
              </w:rPr>
              <w:t xml:space="preserve">We are safe and </w:t>
            </w:r>
            <w:r w:rsidRPr="00613D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responsible –Expectations &amp; consistency </w:t>
            </w:r>
            <w:r w:rsidRPr="00613DF8">
              <w:rPr>
                <w:rFonts w:ascii="Arial" w:eastAsia="Calibri" w:hAnsi="Arial" w:cs="Arial"/>
                <w:bCs/>
                <w:sz w:val="14"/>
                <w:szCs w:val="14"/>
              </w:rPr>
              <w:t>(BED, VN, CT &amp; SC)</w:t>
            </w:r>
          </w:p>
        </w:tc>
        <w:tc>
          <w:tcPr>
            <w:tcW w:w="527" w:type="dxa"/>
          </w:tcPr>
          <w:p w14:paraId="342294F4" w14:textId="77777777" w:rsidR="00613DF8" w:rsidRPr="00613DF8" w:rsidRDefault="00613DF8" w:rsidP="00613DF8">
            <w:pPr>
              <w:spacing w:before="120" w:afterLines="80" w:after="192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7" w:type="dxa"/>
            <w:shd w:val="clear" w:color="auto" w:fill="FFF2CC"/>
          </w:tcPr>
          <w:p w14:paraId="2DB92471" w14:textId="77777777" w:rsidR="00613DF8" w:rsidRPr="00613DF8" w:rsidRDefault="00613DF8" w:rsidP="00613DF8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Developing a more consistent approach to behaviour systems, sanctions and escalation routes better supports staff and student - BED</w:t>
            </w:r>
          </w:p>
          <w:p w14:paraId="32B7C7B0" w14:textId="77777777" w:rsidR="00613DF8" w:rsidRPr="00613DF8" w:rsidRDefault="00613DF8" w:rsidP="00613DF8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Furthering staff consistency through clear expectations support student conduct and engagement – CT &amp; VN</w:t>
            </w:r>
          </w:p>
          <w:p w14:paraId="4F746D19" w14:textId="77777777" w:rsidR="00613DF8" w:rsidRPr="00613DF8" w:rsidRDefault="00613DF8" w:rsidP="00613DF8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Improving student attendance by ensuring all staff (and key staff in particular) share responsibility for getting students into school – BED</w:t>
            </w:r>
          </w:p>
          <w:p w14:paraId="408A40D5" w14:textId="77777777" w:rsidR="00613DF8" w:rsidRPr="00613DF8" w:rsidRDefault="00613DF8" w:rsidP="00613DF8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13DF8">
              <w:rPr>
                <w:rFonts w:ascii="Calibri" w:eastAsia="Calibri" w:hAnsi="Calibri" w:cs="Calibri"/>
                <w:sz w:val="20"/>
                <w:szCs w:val="20"/>
              </w:rPr>
              <w:t>Working to ensure we are as prepared as possible for emergencies and critical incidents – CT &amp; SC</w:t>
            </w:r>
          </w:p>
        </w:tc>
      </w:tr>
      <w:tr w:rsidR="00613DF8" w:rsidRPr="00613DF8" w14:paraId="55B6ED8F" w14:textId="77777777" w:rsidTr="00613DF8">
        <w:trPr>
          <w:trHeight w:val="70"/>
        </w:trPr>
        <w:tc>
          <w:tcPr>
            <w:tcW w:w="10645" w:type="dxa"/>
            <w:gridSpan w:val="3"/>
            <w:shd w:val="clear" w:color="auto" w:fill="auto"/>
          </w:tcPr>
          <w:p w14:paraId="1D014B6A" w14:textId="77777777" w:rsidR="00613DF8" w:rsidRPr="00613DF8" w:rsidRDefault="00613DF8" w:rsidP="00613DF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7ABAD6D3" w14:textId="556C2FC9" w:rsidR="00476E37" w:rsidRDefault="00613DF8">
      <w:r>
        <w:t>6</w:t>
      </w:r>
    </w:p>
    <w:sectPr w:rsidR="00476E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ABC95" w14:textId="77777777" w:rsidR="00613DF8" w:rsidRDefault="00613DF8" w:rsidP="00613DF8">
      <w:pPr>
        <w:spacing w:after="0" w:line="240" w:lineRule="auto"/>
      </w:pPr>
      <w:r>
        <w:separator/>
      </w:r>
    </w:p>
  </w:endnote>
  <w:endnote w:type="continuationSeparator" w:id="0">
    <w:p w14:paraId="2B7849FB" w14:textId="77777777" w:rsidR="00613DF8" w:rsidRDefault="00613DF8" w:rsidP="0061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92066" w14:textId="77777777" w:rsidR="00613DF8" w:rsidRDefault="00613DF8" w:rsidP="00613DF8">
      <w:pPr>
        <w:spacing w:after="0" w:line="240" w:lineRule="auto"/>
      </w:pPr>
      <w:r>
        <w:separator/>
      </w:r>
    </w:p>
  </w:footnote>
  <w:footnote w:type="continuationSeparator" w:id="0">
    <w:p w14:paraId="4F829DDF" w14:textId="77777777" w:rsidR="00613DF8" w:rsidRDefault="00613DF8" w:rsidP="0061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E6044" w14:textId="77777777" w:rsidR="00613DF8" w:rsidRPr="00613DF8" w:rsidRDefault="00613DF8" w:rsidP="00613DF8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b/>
        <w:kern w:val="0"/>
        <w:sz w:val="48"/>
        <w:szCs w:val="48"/>
        <w14:ligatures w14:val="none"/>
      </w:rPr>
    </w:pPr>
    <w:r w:rsidRPr="00613DF8">
      <w:rPr>
        <w:rFonts w:ascii="Calibri" w:eastAsia="Calibri" w:hAnsi="Calibri" w:cs="Times New Roman"/>
        <w:noProof/>
        <w:kern w:val="0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4D970CC0" wp14:editId="26FCFBFA">
          <wp:simplePos x="0" y="0"/>
          <wp:positionH relativeFrom="page">
            <wp:posOffset>4242333</wp:posOffset>
          </wp:positionH>
          <wp:positionV relativeFrom="paragraph">
            <wp:posOffset>-449581</wp:posOffset>
          </wp:positionV>
          <wp:extent cx="3325772" cy="1277007"/>
          <wp:effectExtent l="0" t="0" r="8255" b="0"/>
          <wp:wrapNone/>
          <wp:docPr id="7" name="Picture 7" descr="A colorful swirls of lin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olorful swirls of lines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288" cy="1282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F8">
      <w:rPr>
        <w:rFonts w:ascii="Calibri" w:eastAsia="Calibri" w:hAnsi="Calibri" w:cs="Times New Roman"/>
        <w:noProof/>
        <w:kern w:val="0"/>
        <w:lang w:eastAsia="en-GB"/>
        <w14:ligatures w14:val="none"/>
      </w:rPr>
      <w:drawing>
        <wp:anchor distT="0" distB="0" distL="114300" distR="114300" simplePos="0" relativeHeight="251660288" behindDoc="0" locked="0" layoutInCell="1" allowOverlap="1" wp14:anchorId="0B8CD34E" wp14:editId="525B5E8A">
          <wp:simplePos x="0" y="0"/>
          <wp:positionH relativeFrom="column">
            <wp:posOffset>-346842</wp:posOffset>
          </wp:positionH>
          <wp:positionV relativeFrom="paragraph">
            <wp:posOffset>-55442</wp:posOffset>
          </wp:positionV>
          <wp:extent cx="579887" cy="499665"/>
          <wp:effectExtent l="0" t="0" r="0" b="0"/>
          <wp:wrapNone/>
          <wp:docPr id="8" name="Picture 8" descr="A logo for a high storrs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logo for a high storrs school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87" cy="49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3DF8">
      <w:rPr>
        <w:rFonts w:ascii="Calibri" w:eastAsia="Calibri" w:hAnsi="Calibri" w:cs="Times New Roman"/>
        <w:b/>
        <w:kern w:val="0"/>
        <w:sz w:val="48"/>
        <w:szCs w:val="48"/>
        <w14:ligatures w14:val="none"/>
      </w:rPr>
      <w:t xml:space="preserve">                 Designed for Success for All</w:t>
    </w:r>
  </w:p>
  <w:p w14:paraId="0ADFFA6E" w14:textId="77777777" w:rsidR="00613DF8" w:rsidRPr="00613DF8" w:rsidRDefault="00613DF8" w:rsidP="00613DF8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b/>
        <w:kern w:val="0"/>
        <w:sz w:val="36"/>
        <w:szCs w:val="36"/>
        <w14:ligatures w14:val="none"/>
      </w:rPr>
    </w:pPr>
    <w:r w:rsidRPr="00613DF8">
      <w:rPr>
        <w:rFonts w:ascii="Calibri" w:eastAsia="Calibri" w:hAnsi="Calibri" w:cs="Times New Roman"/>
        <w:b/>
        <w:kern w:val="0"/>
        <w:sz w:val="36"/>
        <w:szCs w:val="36"/>
        <w14:ligatures w14:val="none"/>
      </w:rPr>
      <w:t xml:space="preserve">             High Storrs School Action Plan from September 2024</w:t>
    </w:r>
    <w:r w:rsidRPr="00613DF8">
      <w:rPr>
        <w:rFonts w:ascii="Calibri" w:eastAsia="Calibri" w:hAnsi="Calibri" w:cs="Times New Roman"/>
        <w:b/>
        <w:kern w:val="0"/>
        <w:sz w:val="36"/>
        <w:szCs w:val="36"/>
        <w14:ligatures w14:val="none"/>
      </w:rPr>
      <w:ptab w:relativeTo="margin" w:alignment="right" w:leader="none"/>
    </w:r>
  </w:p>
  <w:p w14:paraId="0701DE23" w14:textId="77777777" w:rsidR="00613DF8" w:rsidRPr="00613DF8" w:rsidRDefault="00613DF8" w:rsidP="0061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C2A0B"/>
    <w:multiLevelType w:val="hybridMultilevel"/>
    <w:tmpl w:val="52667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E26"/>
    <w:multiLevelType w:val="hybridMultilevel"/>
    <w:tmpl w:val="CDF8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894"/>
    <w:multiLevelType w:val="hybridMultilevel"/>
    <w:tmpl w:val="121C0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11FC7"/>
    <w:multiLevelType w:val="hybridMultilevel"/>
    <w:tmpl w:val="AFB2A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A6B1E"/>
    <w:multiLevelType w:val="hybridMultilevel"/>
    <w:tmpl w:val="598CC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73775"/>
    <w:multiLevelType w:val="hybridMultilevel"/>
    <w:tmpl w:val="694AC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81493">
    <w:abstractNumId w:val="1"/>
  </w:num>
  <w:num w:numId="2" w16cid:durableId="1500577836">
    <w:abstractNumId w:val="3"/>
  </w:num>
  <w:num w:numId="3" w16cid:durableId="1894807993">
    <w:abstractNumId w:val="5"/>
  </w:num>
  <w:num w:numId="4" w16cid:durableId="1642149228">
    <w:abstractNumId w:val="4"/>
  </w:num>
  <w:num w:numId="5" w16cid:durableId="1126002865">
    <w:abstractNumId w:val="0"/>
  </w:num>
  <w:num w:numId="6" w16cid:durableId="31203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F8"/>
    <w:rsid w:val="000059CA"/>
    <w:rsid w:val="0014424F"/>
    <w:rsid w:val="003D48E0"/>
    <w:rsid w:val="00476E37"/>
    <w:rsid w:val="00613DF8"/>
    <w:rsid w:val="006C0D0E"/>
    <w:rsid w:val="006F3FC0"/>
    <w:rsid w:val="007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61673"/>
  <w15:chartTrackingRefBased/>
  <w15:docId w15:val="{EE8B0786-615E-4492-ABAD-16F3A3D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D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D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D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D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D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D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D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D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D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D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D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D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D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D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D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D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D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D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3D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D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3D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3D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3D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3D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3D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D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3DF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1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F8"/>
  </w:style>
  <w:style w:type="paragraph" w:styleId="Footer">
    <w:name w:val="footer"/>
    <w:basedOn w:val="Normal"/>
    <w:link w:val="FooterChar"/>
    <w:uiPriority w:val="99"/>
    <w:unhideWhenUsed/>
    <w:rsid w:val="0061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F8"/>
  </w:style>
  <w:style w:type="table" w:customStyle="1" w:styleId="TableGrid1">
    <w:name w:val="Table Grid1"/>
    <w:basedOn w:val="TableNormal"/>
    <w:next w:val="TableGrid"/>
    <w:uiPriority w:val="39"/>
    <w:rsid w:val="00613D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>High Storrs School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Farthing, R (High Storrs - Staff)</dc:creator>
  <cp:keywords/>
  <dc:description/>
  <cp:lastModifiedBy>Tasker, C (High Storrs School Teacher)</cp:lastModifiedBy>
  <cp:revision>2</cp:revision>
  <dcterms:created xsi:type="dcterms:W3CDTF">2024-07-04T07:34:00Z</dcterms:created>
  <dcterms:modified xsi:type="dcterms:W3CDTF">2024-07-04T07:34:00Z</dcterms:modified>
</cp:coreProperties>
</file>